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AC01E5">
              <w:t>DERECHO MERCANTIL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666A4" w:rsidRDefault="00B666A4">
            <w:r>
              <w:t>Profesor Titular de Universidad (Derecho Mercantil)</w:t>
            </w:r>
            <w:bookmarkStart w:id="0" w:name="_GoBack"/>
            <w:bookmarkEnd w:id="0"/>
          </w:p>
          <w:p w:rsidR="003A369F" w:rsidRDefault="001D7F79">
            <w:r>
              <w:t xml:space="preserve">Experto en </w:t>
            </w:r>
            <w:r w:rsidR="00AC01E5">
              <w:t>Derecho de Sociedades</w:t>
            </w:r>
          </w:p>
          <w:p w:rsidR="00AC01E5" w:rsidRDefault="001D7F79">
            <w:r>
              <w:t>Experiencia investigadora</w:t>
            </w:r>
            <w:r w:rsidR="00AC01E5">
              <w:t xml:space="preserve"> (desde 1999 hasta la actualidad). He publicado una monografía y numerosos artículos nacionales e internacionales sobre derecho de sociedades, contratos y concursal. Cuento con dos sexenios (vivos)</w:t>
            </w:r>
          </w:p>
          <w:p w:rsidR="00AC01E5" w:rsidRDefault="00AC01E5"/>
          <w:p w:rsidR="001D7F79" w:rsidRDefault="001D7F79" w:rsidP="00450F1F">
            <w:r>
              <w:t xml:space="preserve">Experiencia docente </w:t>
            </w:r>
            <w:r w:rsidR="00AC01E5">
              <w:t>desde 2002 hasta la actualidad.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AC01E5">
              <w:t xml:space="preserve"> Derecho de sociedades</w:t>
            </w:r>
          </w:p>
          <w:p w:rsidR="001D7F79" w:rsidRDefault="001D7F79">
            <w:r>
              <w:t>2.</w:t>
            </w:r>
            <w:r w:rsidR="00AC01E5">
              <w:t xml:space="preserve"> Derecho concursal</w:t>
            </w:r>
          </w:p>
          <w:p w:rsidR="001D7F79" w:rsidRDefault="001D7F79" w:rsidP="00450F1F">
            <w:r>
              <w:t>3.</w:t>
            </w:r>
            <w:r w:rsidR="00AC01E5">
              <w:t>Derecho de contratos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Pr="00640327" w:rsidRDefault="0066083F" w:rsidP="006E5F82">
            <w:pPr>
              <w:rPr>
                <w:b/>
              </w:rPr>
            </w:pPr>
            <w:r w:rsidRPr="00640327">
              <w:rPr>
                <w:b/>
              </w:rPr>
              <w:t>Sólo se indican los vigentes:</w:t>
            </w:r>
          </w:p>
          <w:p w:rsidR="0066083F" w:rsidRDefault="0066083F" w:rsidP="006E5F82">
            <w:r>
              <w:t xml:space="preserve">1. </w:t>
            </w:r>
            <w:r>
              <w:rPr>
                <w:rFonts w:ascii="Garamond" w:hAnsi="Garamond"/>
                <w:b/>
              </w:rPr>
              <w:t>“</w:t>
            </w:r>
            <w:r>
              <w:rPr>
                <w:rFonts w:ascii="Garamond" w:hAnsi="Garamond"/>
              </w:rPr>
              <w:t>Poder económico y poder empresarial (la revisión de la estructura y la regulación del sistema español de Gobierno Corporativo</w:t>
            </w:r>
            <w:r w:rsidRPr="00AB7D2D">
              <w:rPr>
                <w:rFonts w:ascii="Garamond" w:hAnsi="Garamond"/>
              </w:rPr>
              <w:t xml:space="preserve">)” </w:t>
            </w:r>
            <w:r w:rsidRPr="00AB7D2D">
              <w:rPr>
                <w:rFonts w:ascii="Garamond" w:hAnsi="Garamond" w:cs="Arial"/>
                <w:color w:val="222222"/>
                <w:shd w:val="clear" w:color="auto" w:fill="FFFFFF"/>
              </w:rPr>
              <w:t>Proyecto DER2015-67317-P</w:t>
            </w:r>
          </w:p>
          <w:p w:rsidR="001D7F79" w:rsidRDefault="001D7F79" w:rsidP="006E5F82">
            <w:r>
              <w:t>2.</w:t>
            </w:r>
            <w:r w:rsidR="0066083F" w:rsidRPr="00C367BD">
              <w:rPr>
                <w:rFonts w:ascii="Garamond" w:hAnsi="Garamond"/>
              </w:rPr>
              <w:t xml:space="preserve"> “Reestructuración de empresas y derecho de la competencia”</w:t>
            </w:r>
            <w:r w:rsidR="0066083F">
              <w:rPr>
                <w:rFonts w:ascii="Garamond" w:hAnsi="Garamond"/>
              </w:rPr>
              <w:t xml:space="preserve"> </w:t>
            </w:r>
            <w:r w:rsidR="0066083F" w:rsidRPr="005B7CE3">
              <w:rPr>
                <w:rFonts w:ascii="Garamond" w:hAnsi="Garamond"/>
              </w:rPr>
              <w:t>DER2015-68733-P</w:t>
            </w:r>
            <w:r w:rsidR="0066083F" w:rsidRPr="005B7CE3">
              <w:rPr>
                <w:rFonts w:ascii="Garamond" w:hAnsi="Garamond"/>
              </w:rPr>
              <w:tab/>
            </w:r>
          </w:p>
          <w:p w:rsidR="001D7F79" w:rsidRDefault="001D7F79" w:rsidP="006E5F82"/>
        </w:tc>
      </w:tr>
      <w:tr w:rsidR="006E5F82" w:rsidRPr="008F3DFB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F3DFB" w:rsidRDefault="008F3DFB" w:rsidP="008F3DFB">
            <w:pPr>
              <w:pStyle w:val="Ttulo2"/>
              <w:spacing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El listado adjunto es una referencia (no exhaustiva)</w:t>
            </w:r>
          </w:p>
          <w:p w:rsidR="008F3DFB" w:rsidRPr="00AA555B" w:rsidRDefault="008F3DFB" w:rsidP="008F3DFB">
            <w:pPr>
              <w:pStyle w:val="Ttulo2"/>
              <w:spacing w:line="240" w:lineRule="auto"/>
              <w:outlineLvl w:val="1"/>
              <w:rPr>
                <w:rFonts w:ascii="Times New Roman" w:hAnsi="Times New Roman" w:cs="Times New Roman"/>
                <w:b w:val="0"/>
                <w:smallCaps/>
                <w:color w:val="000000" w:themeColor="text1"/>
                <w:sz w:val="22"/>
                <w:szCs w:val="22"/>
                <w:u w:val="single"/>
              </w:rPr>
            </w:pPr>
            <w:r w:rsidRPr="00AA5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Libros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color w:val="000000" w:themeColor="text1"/>
              </w:rPr>
            </w:pPr>
            <w:r w:rsidRPr="00AA555B">
              <w:rPr>
                <w:i/>
                <w:color w:val="000000" w:themeColor="text1"/>
              </w:rPr>
              <w:t>Grupos de sociedades y protección de acreedores (una perspectiva societaria),</w:t>
            </w:r>
            <w:r w:rsidRPr="00AA555B">
              <w:rPr>
                <w:color w:val="000000" w:themeColor="text1"/>
              </w:rPr>
              <w:t xml:space="preserve">Thomson-Civitas (2007). 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color w:val="000000" w:themeColor="text1"/>
              </w:rPr>
            </w:pPr>
            <w:r w:rsidRPr="00AA555B">
              <w:rPr>
                <w:i/>
                <w:color w:val="000000" w:themeColor="text1"/>
              </w:rPr>
              <w:t xml:space="preserve">Derecho de la competencia </w:t>
            </w:r>
            <w:r w:rsidRPr="00AA555B">
              <w:rPr>
                <w:color w:val="000000" w:themeColor="text1"/>
              </w:rPr>
              <w:t>(con J.I. Signes e I. Fernández)</w:t>
            </w:r>
            <w:r w:rsidRPr="00AA555B">
              <w:rPr>
                <w:i/>
                <w:color w:val="000000" w:themeColor="text1"/>
              </w:rPr>
              <w:t xml:space="preserve">, </w:t>
            </w:r>
            <w:r w:rsidRPr="00AA555B">
              <w:rPr>
                <w:color w:val="000000" w:themeColor="text1"/>
              </w:rPr>
              <w:t xml:space="preserve">Thomson-Civitas (2013). </w:t>
            </w:r>
          </w:p>
          <w:p w:rsidR="008F3DFB" w:rsidRPr="00AA555B" w:rsidRDefault="008F3DFB" w:rsidP="008F3DFB">
            <w:pPr>
              <w:pStyle w:val="Ttulo2"/>
              <w:spacing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Artículos en Revistas Científicas y Libros Colectivos Internacionales 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color w:val="000000" w:themeColor="text1"/>
                <w:lang w:val="en-US"/>
              </w:rPr>
            </w:pPr>
            <w:r w:rsidRPr="008F3DFB">
              <w:rPr>
                <w:color w:val="000000" w:themeColor="text1"/>
                <w:lang w:val="en-US"/>
              </w:rPr>
              <w:t xml:space="preserve">“Corporate Groups and Creditors Protection: An Approach from a Spanish Company Law Perspective”, </w:t>
            </w:r>
            <w:r w:rsidRPr="00AA555B">
              <w:rPr>
                <w:i/>
                <w:color w:val="000000" w:themeColor="text1"/>
                <w:lang w:val="en-US"/>
              </w:rPr>
              <w:t>European and Financial Company Law Review (ECFR-ZGR),</w:t>
            </w:r>
            <w:r w:rsidRPr="00AA555B">
              <w:rPr>
                <w:color w:val="000000" w:themeColor="text1"/>
                <w:lang w:val="en-US"/>
              </w:rPr>
              <w:t xml:space="preserve"> 4</w:t>
            </w:r>
            <w:r w:rsidRPr="00AA555B">
              <w:rPr>
                <w:i/>
                <w:color w:val="000000" w:themeColor="text1"/>
                <w:lang w:val="en-US"/>
              </w:rPr>
              <w:t xml:space="preserve">, </w:t>
            </w:r>
            <w:r w:rsidRPr="00AA555B">
              <w:rPr>
                <w:color w:val="000000" w:themeColor="text1"/>
                <w:lang w:val="en-US"/>
              </w:rPr>
              <w:t xml:space="preserve">2007, Germany. 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b/>
                <w:smallCaps/>
                <w:color w:val="000000" w:themeColor="text1"/>
                <w:u w:val="single"/>
              </w:rPr>
            </w:pPr>
            <w:r w:rsidRPr="00AA555B">
              <w:rPr>
                <w:color w:val="000000" w:themeColor="text1"/>
              </w:rPr>
              <w:t>“</w:t>
            </w:r>
            <w:r w:rsidRPr="00AA555B">
              <w:rPr>
                <w:i/>
                <w:color w:val="000000" w:themeColor="text1"/>
              </w:rPr>
              <w:t>Grupos</w:t>
            </w:r>
            <w:r w:rsidRPr="00AA555B">
              <w:rPr>
                <w:color w:val="000000" w:themeColor="text1"/>
              </w:rPr>
              <w:t xml:space="preserve"> y concurso: las recomendaciones de UNCITRAL y el Derecho español (Groups and insolvency: Uncitral recommendations and Spanish law</w:t>
            </w:r>
            <w:r w:rsidRPr="00AA555B">
              <w:rPr>
                <w:i/>
                <w:color w:val="000000" w:themeColor="text1"/>
              </w:rPr>
              <w:t>)</w:t>
            </w:r>
            <w:r w:rsidRPr="00AA555B">
              <w:rPr>
                <w:color w:val="000000" w:themeColor="text1"/>
              </w:rPr>
              <w:t xml:space="preserve">” (with J. Sánchez-Calero), </w:t>
            </w:r>
            <w:r w:rsidRPr="00AA555B">
              <w:rPr>
                <w:i/>
                <w:color w:val="000000" w:themeColor="text1"/>
              </w:rPr>
              <w:t xml:space="preserve">Quaderni di Ricerca Giuridica, </w:t>
            </w:r>
            <w:r w:rsidRPr="00AA555B">
              <w:rPr>
                <w:color w:val="000000" w:themeColor="text1"/>
              </w:rPr>
              <w:t>69</w:t>
            </w:r>
            <w:r>
              <w:rPr>
                <w:color w:val="000000" w:themeColor="text1"/>
              </w:rPr>
              <w:t xml:space="preserve"> (</w:t>
            </w:r>
            <w:r w:rsidRPr="00AA555B">
              <w:rPr>
                <w:color w:val="000000" w:themeColor="text1"/>
              </w:rPr>
              <w:t>2011</w:t>
            </w:r>
            <w:r>
              <w:rPr>
                <w:color w:val="000000" w:themeColor="text1"/>
              </w:rPr>
              <w:t>)</w:t>
            </w:r>
            <w:r w:rsidRPr="00AA555B">
              <w:rPr>
                <w:color w:val="000000" w:themeColor="text1"/>
              </w:rPr>
              <w:t>, Italy.</w:t>
            </w:r>
            <w:r w:rsidRPr="00AA555B">
              <w:rPr>
                <w:b/>
                <w:smallCaps/>
                <w:color w:val="000000" w:themeColor="text1"/>
              </w:rPr>
              <w:t xml:space="preserve"> 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b/>
                <w:smallCaps/>
                <w:color w:val="000000" w:themeColor="text1"/>
                <w:u w:val="single"/>
                <w:lang w:val="en-US"/>
              </w:rPr>
            </w:pPr>
            <w:r w:rsidRPr="00AA555B">
              <w:rPr>
                <w:smallCaps/>
                <w:color w:val="000000" w:themeColor="text1"/>
                <w:lang w:val="en-US"/>
              </w:rPr>
              <w:t xml:space="preserve">“Emca </w:t>
            </w:r>
            <w:r w:rsidRPr="00AA555B">
              <w:rPr>
                <w:color w:val="000000" w:themeColor="text1"/>
                <w:lang w:val="en-US"/>
              </w:rPr>
              <w:t xml:space="preserve">Directors’ duties. Chapter 9” (with Antunes, J.E.), </w:t>
            </w:r>
            <w:r w:rsidRPr="00AA555B">
              <w:rPr>
                <w:i/>
                <w:color w:val="000000" w:themeColor="text1"/>
                <w:lang w:val="en-US"/>
              </w:rPr>
              <w:t xml:space="preserve">European and Financial Company Law Review (ECFR-ZGR), </w:t>
            </w:r>
            <w:r w:rsidRPr="00AA555B">
              <w:rPr>
                <w:color w:val="000000" w:themeColor="text1"/>
                <w:lang w:val="en-US"/>
              </w:rPr>
              <w:t xml:space="preserve">num. 13, </w:t>
            </w:r>
            <w:r w:rsidRPr="008F3DFB">
              <w:rPr>
                <w:color w:val="000000" w:themeColor="text1"/>
                <w:lang w:val="en-US"/>
              </w:rPr>
              <w:t xml:space="preserve">2016, Germany. </w:t>
            </w:r>
          </w:p>
          <w:p w:rsidR="008F3DFB" w:rsidRPr="006C04FA" w:rsidRDefault="008F3DFB" w:rsidP="008F3DF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mallCaps/>
                <w:color w:val="000000" w:themeColor="text1"/>
                <w:u w:val="single"/>
                <w:lang w:val="en-US"/>
              </w:rPr>
            </w:pPr>
            <w:r w:rsidRPr="008F3DFB">
              <w:rPr>
                <w:color w:val="000000" w:themeColor="text1"/>
                <w:lang w:val="en-US"/>
              </w:rPr>
              <w:lastRenderedPageBreak/>
              <w:t xml:space="preserve">“Predatory Shareholder in Spain: thoughts after the latest reform of the Spanish Companies Act”, </w:t>
            </w:r>
            <w:r w:rsidRPr="008F3DFB">
              <w:rPr>
                <w:i/>
                <w:color w:val="000000" w:themeColor="text1"/>
                <w:lang w:val="en-US"/>
              </w:rPr>
              <w:t>Festschrift für Theodor Baums zum siebzigsten Geburtstag,</w:t>
            </w:r>
            <w:r w:rsidRPr="008F3DFB">
              <w:rPr>
                <w:color w:val="000000" w:themeColor="text1"/>
                <w:lang w:val="en-US"/>
              </w:rPr>
              <w:t xml:space="preserve"> Mohr Siebeck (2017), Germany.</w:t>
            </w:r>
          </w:p>
          <w:p w:rsidR="008F3DFB" w:rsidRPr="006C1085" w:rsidRDefault="008F3DFB" w:rsidP="008F3DF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mallCaps/>
                <w:color w:val="000000" w:themeColor="text1"/>
                <w:u w:val="single"/>
                <w:lang w:val="en-US"/>
              </w:rPr>
            </w:pPr>
            <w:r w:rsidRPr="008F3DFB">
              <w:rPr>
                <w:color w:val="000000" w:themeColor="text1"/>
                <w:lang w:val="en-US"/>
              </w:rPr>
              <w:t>“Report on the Recognition of the interest of the Group”, (con John Armour y otros), SSRN (enero 2017).</w:t>
            </w:r>
          </w:p>
          <w:p w:rsidR="008F3DFB" w:rsidRPr="006C1085" w:rsidRDefault="008F3DFB" w:rsidP="008F3DF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mallCaps/>
                <w:color w:val="000000" w:themeColor="text1"/>
                <w:u w:val="single"/>
                <w:lang w:val="en-US"/>
              </w:rPr>
            </w:pPr>
            <w:r w:rsidRPr="008F3DFB">
              <w:rPr>
                <w:color w:val="000000" w:themeColor="text1"/>
                <w:lang w:val="en-US"/>
              </w:rPr>
              <w:t xml:space="preserve">“Spain: Minority Investors’ Protection in Spain: Civil Liability Remedies under Securities Law”, en (dirs. </w:t>
            </w:r>
            <w:r w:rsidRPr="006C1085">
              <w:rPr>
                <w:color w:val="000000" w:themeColor="text1"/>
                <w:lang w:val="en-US"/>
              </w:rPr>
              <w:t>P-H Conac/M. G</w:t>
            </w:r>
            <w:r>
              <w:rPr>
                <w:color w:val="000000" w:themeColor="text1"/>
                <w:lang w:val="en-US"/>
              </w:rPr>
              <w:t xml:space="preserve">elter) </w:t>
            </w:r>
            <w:r>
              <w:rPr>
                <w:i/>
                <w:color w:val="000000" w:themeColor="text1"/>
                <w:lang w:val="en-US"/>
              </w:rPr>
              <w:t xml:space="preserve">Global Securities Litigation and Enforcement, </w:t>
            </w:r>
            <w:r w:rsidRPr="006C1085">
              <w:rPr>
                <w:color w:val="000000" w:themeColor="text1"/>
                <w:lang w:val="en-US"/>
              </w:rPr>
              <w:t>Cambridge University Press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(2019), Reino Unido</w:t>
            </w:r>
            <w:r w:rsidRPr="006C1085">
              <w:rPr>
                <w:color w:val="000000" w:themeColor="text1"/>
                <w:lang w:val="en-US"/>
              </w:rPr>
              <w:t>.</w:t>
            </w:r>
          </w:p>
          <w:p w:rsidR="008F3DFB" w:rsidRPr="00AA555B" w:rsidRDefault="008F3DFB" w:rsidP="008F3DFB">
            <w:pPr>
              <w:pStyle w:val="Ttulo2"/>
              <w:spacing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55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Artículos en Revistas Científicas y Libros Nacionales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84" w:hanging="284"/>
              <w:contextualSpacing/>
              <w:jc w:val="both"/>
              <w:rPr>
                <w:color w:val="000000" w:themeColor="text1"/>
              </w:rPr>
            </w:pPr>
            <w:r w:rsidRPr="00AA555B">
              <w:rPr>
                <w:color w:val="000000" w:themeColor="text1"/>
              </w:rPr>
              <w:t xml:space="preserve">“El Presidente de la junta general: naturaleza jurídica”, AA.VV., </w:t>
            </w:r>
            <w:r w:rsidRPr="00AA555B">
              <w:rPr>
                <w:i/>
                <w:color w:val="000000" w:themeColor="text1"/>
              </w:rPr>
              <w:t>Libro homenaje a Fernando Rodríguez Artigas y Gaudencio Esteban Velasco</w:t>
            </w:r>
            <w:r w:rsidRPr="00AA555B">
              <w:rPr>
                <w:color w:val="000000" w:themeColor="text1"/>
              </w:rPr>
              <w:t>, Thomson-Aranzadi, 2017, p. 481 y ss.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84" w:hanging="284"/>
              <w:contextualSpacing/>
              <w:jc w:val="both"/>
              <w:rPr>
                <w:color w:val="000000" w:themeColor="text1"/>
              </w:rPr>
            </w:pPr>
            <w:r w:rsidRPr="00AA555B">
              <w:rPr>
                <w:color w:val="000000" w:themeColor="text1"/>
              </w:rPr>
              <w:t xml:space="preserve">“Consolidación de inventarios y listas de acreedores y grupos de sociedades”, </w:t>
            </w:r>
            <w:r w:rsidRPr="00AA555B">
              <w:rPr>
                <w:i/>
                <w:color w:val="000000" w:themeColor="text1"/>
              </w:rPr>
              <w:t>Revista de Derecho Concursal y Paraconcursal</w:t>
            </w:r>
            <w:r w:rsidRPr="00AA555B">
              <w:rPr>
                <w:color w:val="000000" w:themeColor="text1"/>
              </w:rPr>
              <w:t xml:space="preserve">, 23, 2015, p. 107 y ss. 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84" w:hanging="284"/>
              <w:contextualSpacing/>
              <w:jc w:val="both"/>
              <w:rPr>
                <w:color w:val="000000" w:themeColor="text1"/>
              </w:rPr>
            </w:pPr>
            <w:r w:rsidRPr="00AA555B">
              <w:rPr>
                <w:color w:val="000000" w:themeColor="text1"/>
              </w:rPr>
              <w:t xml:space="preserve">“El contrato de cash pooling”, </w:t>
            </w:r>
            <w:r w:rsidRPr="00AA555B">
              <w:rPr>
                <w:i/>
                <w:color w:val="000000" w:themeColor="text1"/>
              </w:rPr>
              <w:t xml:space="preserve">Revista de Derecho Mercantil, </w:t>
            </w:r>
            <w:r w:rsidRPr="00AA555B">
              <w:rPr>
                <w:color w:val="000000" w:themeColor="text1"/>
              </w:rPr>
              <w:t xml:space="preserve">291, 2014, p. 233 y ss. 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84" w:hanging="284"/>
              <w:contextualSpacing/>
              <w:jc w:val="both"/>
              <w:rPr>
                <w:color w:val="000000" w:themeColor="text1"/>
              </w:rPr>
            </w:pPr>
            <w:r w:rsidRPr="00AA555B">
              <w:rPr>
                <w:color w:val="000000" w:themeColor="text1"/>
              </w:rPr>
              <w:t xml:space="preserve">“Las cartas de patrocinio”, AAVV., </w:t>
            </w:r>
            <w:r w:rsidRPr="00AA555B">
              <w:rPr>
                <w:i/>
                <w:color w:val="000000" w:themeColor="text1"/>
              </w:rPr>
              <w:t>Contratos</w:t>
            </w:r>
            <w:r w:rsidRPr="00AA555B">
              <w:rPr>
                <w:color w:val="000000" w:themeColor="text1"/>
              </w:rPr>
              <w:t xml:space="preserve"> (dir. M. Yzquierdo), IX, Aranzadi, 2014, p. 461 y ss. 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84" w:hanging="284"/>
              <w:contextualSpacing/>
              <w:jc w:val="both"/>
              <w:rPr>
                <w:color w:val="000000" w:themeColor="text1"/>
              </w:rPr>
            </w:pPr>
            <w:r w:rsidRPr="00AA555B">
              <w:rPr>
                <w:color w:val="000000" w:themeColor="text1"/>
              </w:rPr>
              <w:t xml:space="preserve">“La subordinación de créditos de las sociedades del mismo grupo y de sus “socios comunes” (ámbito subjetivo y aplicación temporal del artículo 93.2.3º LC)”, </w:t>
            </w:r>
            <w:r w:rsidRPr="00AA555B">
              <w:rPr>
                <w:i/>
                <w:color w:val="000000" w:themeColor="text1"/>
              </w:rPr>
              <w:t>Revista de Derecho Bancario y Bursátil</w:t>
            </w:r>
            <w:r w:rsidRPr="00AA555B">
              <w:rPr>
                <w:color w:val="000000" w:themeColor="text1"/>
              </w:rPr>
              <w:t xml:space="preserve">, 132, 2013, p. 77 y ss. 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84" w:hanging="284"/>
              <w:contextualSpacing/>
              <w:jc w:val="both"/>
              <w:rPr>
                <w:color w:val="000000" w:themeColor="text1"/>
              </w:rPr>
            </w:pPr>
            <w:r w:rsidRPr="00AA555B">
              <w:rPr>
                <w:rFonts w:ascii="Garamond" w:hAnsi="Garamond"/>
                <w:color w:val="000000" w:themeColor="text1"/>
              </w:rPr>
              <w:t>“</w:t>
            </w:r>
            <w:r w:rsidRPr="00AA555B">
              <w:rPr>
                <w:color w:val="000000" w:themeColor="text1"/>
              </w:rPr>
              <w:t xml:space="preserve">El “accionista depredador”: Un acercamiento a la figura y su problemática a partir de la experiencia comparada”, </w:t>
            </w:r>
            <w:r w:rsidRPr="00AA555B">
              <w:rPr>
                <w:i/>
                <w:color w:val="000000" w:themeColor="text1"/>
              </w:rPr>
              <w:t>Revista de Derecho Bancario y Bursátil</w:t>
            </w:r>
            <w:r w:rsidRPr="00AA555B">
              <w:rPr>
                <w:color w:val="000000" w:themeColor="text1"/>
              </w:rPr>
              <w:t xml:space="preserve">, 2012, p. 7 y ss. 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84" w:hanging="284"/>
              <w:contextualSpacing/>
              <w:jc w:val="both"/>
              <w:rPr>
                <w:i/>
                <w:color w:val="000000" w:themeColor="text1"/>
              </w:rPr>
            </w:pPr>
            <w:r w:rsidRPr="00AA555B">
              <w:rPr>
                <w:color w:val="000000" w:themeColor="text1"/>
              </w:rPr>
              <w:t xml:space="preserve">“Conflictos de intereses en grupos de sociedades: reflexiones a propósito de la STS de 12 de abril de 2007”, </w:t>
            </w:r>
            <w:r w:rsidRPr="00AA555B">
              <w:rPr>
                <w:i/>
                <w:color w:val="000000" w:themeColor="text1"/>
              </w:rPr>
              <w:t xml:space="preserve">Revista de Derecho de Sociedades, </w:t>
            </w:r>
            <w:r w:rsidRPr="00AA555B">
              <w:rPr>
                <w:color w:val="000000" w:themeColor="text1"/>
              </w:rPr>
              <w:t>30, 2008, p. 401 y ss.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84" w:hanging="284"/>
              <w:contextualSpacing/>
              <w:jc w:val="both"/>
              <w:rPr>
                <w:i/>
                <w:color w:val="000000" w:themeColor="text1"/>
              </w:rPr>
            </w:pPr>
            <w:r w:rsidRPr="00AA555B">
              <w:rPr>
                <w:color w:val="000000" w:themeColor="text1"/>
              </w:rPr>
              <w:t>“Accionistas externos de grupos de sociedades: una primera aproximación a la necesidad de extender la perspectiva tuitiva a la sociedad matriz”,</w:t>
            </w:r>
            <w:r w:rsidRPr="00AA555B">
              <w:rPr>
                <w:i/>
                <w:color w:val="000000" w:themeColor="text1"/>
              </w:rPr>
              <w:t xml:space="preserve"> Revista de Derecho Mercantil, </w:t>
            </w:r>
            <w:r w:rsidRPr="00AA555B">
              <w:rPr>
                <w:color w:val="000000" w:themeColor="text1"/>
              </w:rPr>
              <w:t>269, 2008, p. 1009 y ss.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84" w:hanging="284"/>
              <w:contextualSpacing/>
              <w:jc w:val="both"/>
              <w:rPr>
                <w:i/>
                <w:color w:val="000000" w:themeColor="text1"/>
              </w:rPr>
            </w:pPr>
            <w:r w:rsidRPr="00AA555B">
              <w:rPr>
                <w:color w:val="000000" w:themeColor="text1"/>
              </w:rPr>
              <w:t>“La igualdad en la responsabilidad social de las empresas” (cap. VII), AAVV.,</w:t>
            </w:r>
            <w:r w:rsidRPr="00AA555B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AA555B">
              <w:rPr>
                <w:i/>
                <w:color w:val="000000" w:themeColor="text1"/>
              </w:rPr>
              <w:t>Igualdad de mujeres y hombres. Comentario a la Ley orgánica 3/2007, de 22 de marzo, para la igualdad efectiva de mujeres y hombres</w:t>
            </w:r>
            <w:r w:rsidRPr="00AA555B">
              <w:rPr>
                <w:color w:val="000000" w:themeColor="text1"/>
              </w:rPr>
              <w:t>, Thomson-Civitas, 2007, p. 495 y ss.</w:t>
            </w:r>
          </w:p>
          <w:p w:rsidR="008F3DFB" w:rsidRPr="00AA555B" w:rsidRDefault="008F3DFB" w:rsidP="008F3DFB">
            <w:pPr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84" w:hanging="284"/>
              <w:contextualSpacing/>
              <w:jc w:val="both"/>
              <w:rPr>
                <w:color w:val="000000" w:themeColor="text1"/>
              </w:rPr>
            </w:pPr>
            <w:r w:rsidRPr="00AA555B">
              <w:rPr>
                <w:color w:val="000000" w:themeColor="text1"/>
              </w:rPr>
              <w:t xml:space="preserve">“Una aproximación al concepto de administrador de hecho y a la funcionalidad de la figura en los grupos de sociedades”, VV.AA, </w:t>
            </w:r>
            <w:r w:rsidRPr="00AA555B">
              <w:rPr>
                <w:i/>
                <w:color w:val="000000" w:themeColor="text1"/>
              </w:rPr>
              <w:t>Segundo Seminario Harvard-Complutense de Derecho Mercantil: Gobierno corporativo y crisis empresariales</w:t>
            </w:r>
            <w:r w:rsidRPr="00AA555B">
              <w:rPr>
                <w:b/>
                <w:color w:val="000000" w:themeColor="text1"/>
              </w:rPr>
              <w:t xml:space="preserve">, </w:t>
            </w:r>
            <w:r w:rsidRPr="00AA555B">
              <w:rPr>
                <w:color w:val="000000" w:themeColor="text1"/>
              </w:rPr>
              <w:t>Marcial Pons, 2006, p. 289 y ss.</w:t>
            </w:r>
          </w:p>
          <w:p w:rsidR="001D7F79" w:rsidRPr="008F3DFB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640327" w:rsidP="00C875F1">
            <w:r>
              <w:lastRenderedPageBreak/>
              <w:t xml:space="preserve">Of Counsel del Estudio Jurídico Sánchez </w:t>
            </w:r>
            <w:r w:rsidRPr="00640327">
              <w:rPr>
                <w:b/>
              </w:rPr>
              <w:t>Calero (desde</w:t>
            </w:r>
            <w:r>
              <w:t xml:space="preserve"> 2014).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AE" w:rsidRDefault="00DD54AE" w:rsidP="001D7F79">
      <w:pPr>
        <w:spacing w:after="0" w:line="240" w:lineRule="auto"/>
      </w:pPr>
      <w:r>
        <w:separator/>
      </w:r>
    </w:p>
  </w:endnote>
  <w:endnote w:type="continuationSeparator" w:id="0">
    <w:p w:rsidR="00DD54AE" w:rsidRDefault="00DD54AE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AE" w:rsidRDefault="00DD54AE" w:rsidP="001D7F79">
      <w:pPr>
        <w:spacing w:after="0" w:line="240" w:lineRule="auto"/>
      </w:pPr>
      <w:r>
        <w:separator/>
      </w:r>
    </w:p>
  </w:footnote>
  <w:footnote w:type="continuationSeparator" w:id="0">
    <w:p w:rsidR="00DD54AE" w:rsidRDefault="00DD54AE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50FD"/>
    <w:multiLevelType w:val="hybridMultilevel"/>
    <w:tmpl w:val="4E82459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7A4B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B0036"/>
    <w:rsid w:val="002E0289"/>
    <w:rsid w:val="003126FC"/>
    <w:rsid w:val="003875D5"/>
    <w:rsid w:val="003A369F"/>
    <w:rsid w:val="00450F1F"/>
    <w:rsid w:val="004D76B6"/>
    <w:rsid w:val="00506DA3"/>
    <w:rsid w:val="0055671E"/>
    <w:rsid w:val="005B38F9"/>
    <w:rsid w:val="00617764"/>
    <w:rsid w:val="00640327"/>
    <w:rsid w:val="006514EE"/>
    <w:rsid w:val="0066083F"/>
    <w:rsid w:val="006908CD"/>
    <w:rsid w:val="006A0346"/>
    <w:rsid w:val="006E5F82"/>
    <w:rsid w:val="007579F8"/>
    <w:rsid w:val="00760D07"/>
    <w:rsid w:val="00780D55"/>
    <w:rsid w:val="00863858"/>
    <w:rsid w:val="008F3DFB"/>
    <w:rsid w:val="00974CD4"/>
    <w:rsid w:val="00990AA2"/>
    <w:rsid w:val="00A817B5"/>
    <w:rsid w:val="00AA6974"/>
    <w:rsid w:val="00AC01E5"/>
    <w:rsid w:val="00B32F6A"/>
    <w:rsid w:val="00B42C8F"/>
    <w:rsid w:val="00B666A4"/>
    <w:rsid w:val="00BF0367"/>
    <w:rsid w:val="00CC3283"/>
    <w:rsid w:val="00DC3E7A"/>
    <w:rsid w:val="00DD54AE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paragraph" w:styleId="Ttulo2">
    <w:name w:val="heading 2"/>
    <w:basedOn w:val="Normal"/>
    <w:next w:val="Normal"/>
    <w:link w:val="Ttulo2Car"/>
    <w:unhideWhenUsed/>
    <w:rsid w:val="008F3DF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8F3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paragraph" w:styleId="Ttulo2">
    <w:name w:val="heading 2"/>
    <w:basedOn w:val="Normal"/>
    <w:next w:val="Normal"/>
    <w:link w:val="Ttulo2Car"/>
    <w:unhideWhenUsed/>
    <w:rsid w:val="008F3DF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8F3D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3</cp:revision>
  <dcterms:created xsi:type="dcterms:W3CDTF">2019-04-23T09:55:00Z</dcterms:created>
  <dcterms:modified xsi:type="dcterms:W3CDTF">2019-06-20T15:06:00Z</dcterms:modified>
</cp:coreProperties>
</file>